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PP Slots · Signature Machines Deep Dive</w:t>
      </w:r>
    </w:p>
    <w:p>
      <w:pPr>
        <w:jc w:val="center"/>
      </w:pPr>
      <w:r>
        <w:rPr>
          <w:rFonts w:ascii="Helvetica Neue" w:hAnsi="Helvetica Neue"/>
          <w:b/>
          <w:color w:val="1E3A8A"/>
          <w:sz w:val="40"/>
        </w:rPr>
        <w:t>PP's Two Signature Machines, Taken Apart: Exactly Which Parts Make Up Gates of Olympus and Sweet Bonanza (2026)</w:t>
      </w:r>
    </w:p>
    <w:p>
      <w:pPr>
        <w:jc w:val="center"/>
      </w:pPr>
      <w:r>
        <w:rPr>
          <w:rFonts w:ascii="Helvetica Neue" w:hAnsi="Helvetica Neue"/>
          <w:b w:val="0"/>
          <w:color w:val="1E3A8A"/>
          <w:sz w:val="20"/>
        </w:rPr>
        <w:t>Produced by Pragmatic Play Guide (pragmaticplayguide.com) · 2026-07-11 · Educational mechanics document — not a game/app download</w:t>
      </w:r>
    </w:p>
    <w:p/>
    <w:p>
      <w:r>
        <w:rPr>
          <w:rFonts w:ascii="Helvetica Neue" w:hAnsi="Helvetica Neue"/>
          <w:b w:val="0"/>
          <w:sz w:val="22"/>
        </w:rPr>
        <w:t>The Zeus-themed Gates of Olympus and the candy-themed Sweet Bonanza have art styles worlds apart, yet their mechanical skeletons are practically the same. This handbook takes both signature machines apart into individual parts for a side-by-side comparison, so you can see exactly what "new skin, same bones" means — understand one machine and you understand a whole family.</w:t>
      </w:r>
    </w:p>
    <w:p/>
    <w:p>
      <w:r>
        <w:rPr>
          <w:rFonts w:ascii="Helvetica Neue" w:hAnsi="Helvetica Neue"/>
          <w:b/>
          <w:color w:val="1E3A8A"/>
          <w:sz w:val="30"/>
        </w:rPr>
        <w:t>What this document explains</w:t>
      </w:r>
    </w:p>
    <w:p>
      <w:pPr>
        <w:pStyle w:val="ListBullet"/>
      </w:pPr>
      <w:r>
        <w:rPr>
          <w:rFonts w:ascii="Helvetica Neue" w:hAnsi="Helvetica Neue"/>
          <w:b w:val="0"/>
          <w:sz w:val="21"/>
        </w:rPr>
        <w:t>The skeleton both machines share: a 6×5 board + scatter pays + tumbling reels</w:t>
      </w:r>
    </w:p>
    <w:p>
      <w:pPr>
        <w:pStyle w:val="ListBullet"/>
      </w:pPr>
      <w:r>
        <w:rPr>
          <w:rFonts w:ascii="Helvetica Neue" w:hAnsi="Helvetica Neue"/>
          <w:b w:val="0"/>
          <w:sz w:val="21"/>
        </w:rPr>
        <w:t>Gates of Olympus's random multiplier orbs: how they sum and amplify a round's win</w:t>
      </w:r>
    </w:p>
    <w:p>
      <w:pPr>
        <w:pStyle w:val="ListBullet"/>
      </w:pPr>
      <w:r>
        <w:rPr>
          <w:rFonts w:ascii="Helvetica Neue" w:hAnsi="Helvetica Neue"/>
          <w:b w:val="0"/>
          <w:sz w:val="21"/>
        </w:rPr>
        <w:t>Sweet Bonanza's bomb multipliers: same idea as the orbs, different shape</w:t>
      </w:r>
    </w:p>
    <w:p>
      <w:pPr>
        <w:pStyle w:val="ListBullet"/>
      </w:pPr>
      <w:r>
        <w:rPr>
          <w:rFonts w:ascii="Helvetica Neue" w:hAnsi="Helvetica Neue"/>
          <w:b w:val="0"/>
          <w:sz w:val="21"/>
        </w:rPr>
        <w:t>In free spins the multiplier doesn't reset: why the payout potential concentrates here</w:t>
      </w:r>
    </w:p>
    <w:p>
      <w:pPr>
        <w:pStyle w:val="ListBullet"/>
      </w:pPr>
      <w:r>
        <w:rPr>
          <w:rFonts w:ascii="Helvetica Neue" w:hAnsi="Helvetica Neue"/>
          <w:b w:val="0"/>
          <w:sz w:val="21"/>
        </w:rPr>
        <w:t>The differences really come down only to theme skin, multiplier shape, and tuned figures</w:t>
      </w:r>
    </w:p>
    <w:p/>
    <w:p>
      <w:r>
        <w:rPr>
          <w:rFonts w:ascii="Helvetica Neue" w:hAnsi="Helvetica Neue"/>
          <w:b/>
          <w:color w:val="1E3A8A"/>
          <w:sz w:val="30"/>
        </w:rPr>
        <w:t>FAQ</w:t>
      </w:r>
    </w:p>
    <w:p>
      <w:r>
        <w:rPr>
          <w:rFonts w:ascii="Helvetica Neue" w:hAnsi="Helvetica Neue"/>
          <w:b/>
          <w:color w:val="1E3A8A"/>
          <w:sz w:val="24"/>
        </w:rPr>
        <w:t>Are Gates of Olympus and Sweet Bonanza the same game?</w:t>
      </w:r>
    </w:p>
    <w:p>
      <w:r>
        <w:rPr>
          <w:rFonts w:ascii="Helvetica Neue" w:hAnsi="Helvetica Neue"/>
          <w:b w:val="0"/>
          <w:sz w:val="21"/>
        </w:rPr>
        <w:t>Not the same game, but their mechanical skeletons are highly similar: both are 6×5 boards, scatter pays, tumbling reels, and stackable multiplier symbols in free spins. The main differences are the theme skin, the shape of the multiplier symbols, and tuned figures like the max win.</w:t>
      </w:r>
    </w:p>
    <w:p>
      <w:r>
        <w:rPr>
          <w:rFonts w:ascii="Helvetica Neue" w:hAnsi="Helvetica Neue"/>
          <w:b/>
          <w:color w:val="1E3A8A"/>
          <w:sz w:val="24"/>
        </w:rPr>
        <w:t>Does understanding these two machines improve your chances of winning?</w:t>
      </w:r>
    </w:p>
    <w:p>
      <w:r>
        <w:rPr>
          <w:rFonts w:ascii="Helvetica Neue" w:hAnsi="Helvetica Neue"/>
          <w:b w:val="0"/>
          <w:sz w:val="21"/>
        </w:rPr>
        <w:t>No. Understanding the board, payout style, and multiplier mechanics helps you see how the games work and where their volatility comes from, but it can't remove the house edge. This resource only covers how the mechanics work, not how to win.</w:t>
      </w:r>
    </w:p>
    <w:p>
      <w:r>
        <w:rPr>
          <w:rFonts w:ascii="Helvetica Neue" w:hAnsi="Helvetica Neue"/>
          <w:b/>
          <w:color w:val="1E3A8A"/>
          <w:sz w:val="24"/>
        </w:rPr>
        <w:t>Are the RTP and max-win figures in the handbook accurate?</w:t>
      </w:r>
    </w:p>
    <w:p>
      <w:r>
        <w:rPr>
          <w:rFonts w:ascii="Helvetica Neue" w:hAnsi="Helvetica Neue"/>
          <w:b w:val="0"/>
          <w:sz w:val="21"/>
        </w:rPr>
        <w:t>The figures in the text are compiled from our library and are all marked "go by the operator interface." Slot figures may differ by version or operator configuration, so go by the actual game interface you open.</w:t>
      </w:r>
    </w:p>
    <w:p/>
    <w:p>
      <w:r>
        <w:rPr>
          <w:rFonts w:ascii="Helvetica Neue" w:hAnsi="Helvetica Neue"/>
          <w:b/>
          <w:color w:val="B45309"/>
          <w:sz w:val="24"/>
        </w:rPr>
        <w:t>18+  Play responsibly</w:t>
      </w:r>
    </w:p>
    <w:p>
      <w:r>
        <w:rPr>
          <w:rFonts w:ascii="Helvetica Neue" w:hAnsi="Helvetica Neue"/>
          <w:b w:val="0"/>
          <w:color w:val="6B7280"/>
          <w:sz w:val="19"/>
        </w:rPr>
        <w:t>This document is compiled independently by Pragmatic Play Guide for mechanics education only. It is not an official Pragmatic Play channel, accepts no real-money betting of any kind, and provides or recommends no gambling platform — neither this page nor this file carries any affiliate or promotional link. Demo play uses virtual credits and cannot validate real-money outcomes. Gambling carries risk and no mechanic removes the house edge; if play starts to affect your life or mood, stop immediately and seek professional help. For readers aged 18+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