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Helvetica Neue" w:hAnsi="Helvetica Neue"/>
          <w:b/>
          <w:color w:val="047857"/>
          <w:sz w:val="22"/>
        </w:rPr>
        <w:t>Tra cứu nhanh</w:t>
      </w:r>
    </w:p>
    <w:p>
      <w:pPr>
        <w:jc w:val="center"/>
      </w:pPr>
      <w:r>
        <w:rPr>
          <w:rFonts w:ascii="Helvetica Neue" w:hAnsi="Helvetica Neue"/>
          <w:b/>
          <w:color w:val="1E3A8A"/>
          <w:sz w:val="40"/>
        </w:rPr>
        <w:t>Tra cứu nhanh đọc bàn Scatter Pays của PP: không nhìn đường nối thì đếm gì, ngưỡng 8 cái tính thế nào (hướng dẫn đọc bàn 2026)</w:t>
      </w:r>
    </w:p>
    <w:p>
      <w:pPr>
        <w:jc w:val="center"/>
      </w:pPr>
      <w:r>
        <w:rPr>
          <w:rFonts w:ascii="Helvetica Neue" w:hAnsi="Helvetica Neue"/>
          <w:b w:val="0"/>
          <w:color w:val="1E3A8A"/>
          <w:sz w:val="20"/>
        </w:rPr>
        <w:t>Thực hiện bởi Hướng dẫn Pragmatic Play (pragmaticplayguide.com) · 2026-07-04 · Tài liệu kiến thức cơ chế — không phải tải game/ứng dụng</w:t>
      </w:r>
    </w:p>
    <w:p/>
    <w:p>
      <w:r>
        <w:rPr>
          <w:rFonts w:ascii="Helvetica Neue" w:hAnsi="Helvetica Neue"/>
          <w:b w:val="0"/>
          <w:sz w:val="22"/>
        </w:rPr>
        <w:t>Mở một slot PP lên, trang luật ghi «Scatter Pays» hay «25 line» quyết định bạn nên đọc bàn ra sao. Bản tra cứu nhanh này nói rõ cách trả thưởng «chỉ đếm số lượng, không nhìn vị trí» của Scatter Pays: ngưỡng tính thế nào, đọc bàn nên để ý cái gì, vì sao nó luôn gắn với Tumble.</w:t>
      </w:r>
    </w:p>
    <w:p/>
    <w:p>
      <w:r>
        <w:rPr>
          <w:rFonts w:ascii="Helvetica Neue" w:hAnsi="Helvetica Neue"/>
          <w:b/>
          <w:color w:val="1E3A8A"/>
          <w:sz w:val="30"/>
        </w:rPr>
        <w:t>Tài liệu này nói rõ điều gì</w:t>
      </w:r>
    </w:p>
    <w:p>
      <w:pPr>
        <w:pStyle w:val="ListBullet"/>
      </w:pPr>
      <w:r>
        <w:rPr>
          <w:rFonts w:ascii="Helvetica Neue" w:hAnsi="Helvetica Neue"/>
          <w:b w:val="0"/>
          <w:sz w:val="21"/>
        </w:rPr>
        <w:t>Scatter Pays vs payline truyền thống: một cái đếm số lượng, một cái nhìn đường đi</w:t>
      </w:r>
    </w:p>
    <w:p>
      <w:pPr>
        <w:pStyle w:val="ListBullet"/>
      </w:pPr>
      <w:r>
        <w:rPr>
          <w:rFonts w:ascii="Helvetica Neue" w:hAnsi="Helvetica Neue"/>
          <w:b w:val="0"/>
          <w:sz w:val="21"/>
        </w:rPr>
        <w:t>Ngưỡng thường gặp trên bàn 6×5: cùng loại biểu tượng gom đủ 8 cái trên toàn bàn là trả</w:t>
      </w:r>
    </w:p>
    <w:p>
      <w:pPr>
        <w:pStyle w:val="ListBullet"/>
      </w:pPr>
      <w:r>
        <w:rPr>
          <w:rFonts w:ascii="Helvetica Neue" w:hAnsi="Helvetica Neue"/>
          <w:b w:val="0"/>
          <w:sz w:val="21"/>
        </w:rPr>
        <w:t>Vì sao Scatter Pays gần như luôn xuất hiện kèm Tumble</w:t>
      </w:r>
    </w:p>
    <w:p>
      <w:pPr>
        <w:pStyle w:val="ListBullet"/>
      </w:pPr>
      <w:r>
        <w:rPr>
          <w:rFonts w:ascii="Helvetica Neue" w:hAnsi="Helvetica Neue"/>
          <w:b w:val="0"/>
          <w:sz w:val="21"/>
        </w:rPr>
        <w:t>Đọc bàn nên đếm gì: chuyển sự chú ý từ «đường nối» sang «một biểu tượng tổng cộng mấy cái»</w:t>
      </w:r>
    </w:p>
    <w:p>
      <w:pPr>
        <w:pStyle w:val="ListBullet"/>
      </w:pPr>
      <w:r>
        <w:rPr>
          <w:rFonts w:ascii="Helvetica Neue" w:hAnsi="Helvetica Neue"/>
          <w:b w:val="0"/>
          <w:sz w:val="21"/>
        </w:rPr>
        <w:t>Tiêu biến liên tục không phải «máy sắp nổ», mà là vận hành bình thường của cơ chế</w:t>
      </w:r>
    </w:p>
    <w:p/>
    <w:p>
      <w:r>
        <w:rPr>
          <w:rFonts w:ascii="Helvetica Neue" w:hAnsi="Helvetica Neue"/>
          <w:b/>
          <w:color w:val="1E3A8A"/>
          <w:sz w:val="30"/>
        </w:rPr>
        <w:t>Câu hỏi thường gặp</w:t>
      </w:r>
    </w:p>
    <w:p>
      <w:r>
        <w:rPr>
          <w:rFonts w:ascii="Helvetica Neue" w:hAnsi="Helvetica Neue"/>
          <w:b/>
          <w:color w:val="1E3A8A"/>
          <w:sz w:val="24"/>
        </w:rPr>
        <w:t>Scatter Pays có dễ thắng hơn payline không?</w:t>
      </w:r>
    </w:p>
    <w:p>
      <w:r>
        <w:rPr>
          <w:rFonts w:ascii="Helvetica Neue" w:hAnsi="Helvetica Neue"/>
          <w:b w:val="0"/>
          <w:sz w:val="21"/>
        </w:rPr>
        <w:t>Không. Nó chỉ đổi cách phán định — gom đủ số lượng là trả, không nhìn đường nối, nhưng thường đi kèm độ biến động cao và Tumble, quay chay cũng nhiều. Nó không thay đổi kỳ vọng dài hạn của game, lợi thế nhà cái vẫn tồn tại.</w:t>
      </w:r>
    </w:p>
    <w:p>
      <w:r>
        <w:rPr>
          <w:rFonts w:ascii="Helvetica Neue" w:hAnsi="Helvetica Neue"/>
          <w:b/>
          <w:color w:val="1E3A8A"/>
          <w:sz w:val="24"/>
        </w:rPr>
        <w:t>Scatter Pays 6×5 thường cần mấy biểu tượng mới trả?</w:t>
      </w:r>
    </w:p>
    <w:p>
      <w:r>
        <w:rPr>
          <w:rFonts w:ascii="Helvetica Neue" w:hAnsi="Helvetica Neue"/>
          <w:b w:val="0"/>
          <w:sz w:val="21"/>
        </w:rPr>
        <w:t>Các game Scatter Pays 6×5 của PP có ngưỡng thường gặp là toàn bàn xuất hiện từ 8 cái trở lên cùng một loại biểu tượng là kích hoạt trả thưởng, càng nhiều tỷ lệ càng cao. Cụ thể lấy trang luật của mỗi game làm chuẩn.</w:t>
      </w:r>
    </w:p>
    <w:p>
      <w:r>
        <w:rPr>
          <w:rFonts w:ascii="Helvetica Neue" w:hAnsi="Helvetica Neue"/>
          <w:b/>
          <w:color w:val="1E3A8A"/>
          <w:sz w:val="24"/>
        </w:rPr>
        <w:t>Bản tra cứu nhanh này có phải là tải game không?</w:t>
      </w:r>
    </w:p>
    <w:p>
      <w:r>
        <w:rPr>
          <w:rFonts w:ascii="Helvetica Neue" w:hAnsi="Helvetica Neue"/>
          <w:b w:val="0"/>
          <w:sz w:val="21"/>
        </w:rPr>
        <w:t>Không. Đây là một tài liệu phổ cập cơ chế (PDF / Word), không phải tải game hay App. Muốn trải nghiệm game PP hãy đến trang từng game dùng lối «Chơi thử miễn phí».</w:t>
      </w:r>
    </w:p>
    <w:p/>
    <w:p>
      <w:r>
        <w:rPr>
          <w:rFonts w:ascii="Helvetica Neue" w:hAnsi="Helvetica Neue"/>
          <w:b/>
          <w:color w:val="B45309"/>
          <w:sz w:val="24"/>
        </w:rPr>
        <w:t>18+  Chơi có trách nhiệm</w:t>
      </w:r>
    </w:p>
    <w:p>
      <w:r>
        <w:rPr>
          <w:rFonts w:ascii="Helvetica Neue" w:hAnsi="Helvetica Neue"/>
          <w:b w:val="0"/>
          <w:color w:val="6B7280"/>
          <w:sz w:val="19"/>
        </w:rPr>
        <w:t>Tài liệu này do Hướng dẫn Pragmatic Play biên soạn độc lập, chỉ nhằm phổ biến kiến thức cơ chế. Đây không phải kênh chính thức của Pragmatic Play, không nhận cược tiền thật dưới bất kỳ hình thức nào, không cung cấp và không giới thiệu nền tảng cá cược nào — cả trang này lẫn tệp này đều không chứa liên kết affiliate hay quảng bá. Chế độ chơi thử dùng tín dụng ảo, không thể xác thực kết quả chơi bằng tiền thật. Cờ bạc có rủi ro và không cơ chế nào xóa được lợi thế nhà cái; nếu việc chơi bắt đầu ảnh hưởng đến cuộc sống hay cảm xúc của bạn, hãy dừng ngay và tìm hỗ trợ chuyên nghiệp. Chỉ dành cho người đọc từ 18 tuổi.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